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F8D19">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3520" w:hanging="3520" w:hangingChars="800"/>
        <w:jc w:val="left"/>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双相情感障碍：在情绪的过山车上</w:t>
      </w:r>
    </w:p>
    <w:p w14:paraId="4EDE1074">
      <w:pPr>
        <w:keepNext w:val="0"/>
        <w:keepLines w:val="0"/>
        <w:pageBreakBefore w:val="0"/>
        <w:widowControl w:val="0"/>
        <w:numPr>
          <w:numId w:val="0"/>
        </w:numPr>
        <w:kinsoku/>
        <w:wordWrap/>
        <w:overflowPunct/>
        <w:topLinePunct w:val="0"/>
        <w:autoSpaceDE/>
        <w:autoSpaceDN/>
        <w:bidi w:val="0"/>
        <w:adjustRightInd/>
        <w:snapToGrid/>
        <w:spacing w:line="590" w:lineRule="exact"/>
        <w:ind w:leftChars="-800" w:firstLine="5280" w:firstLineChars="1200"/>
        <w:jc w:val="left"/>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寻找平衡</w:t>
      </w:r>
    </w:p>
    <w:p w14:paraId="32A54975">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福州市第二总医院神经精神病防治院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陈明森</w:t>
      </w:r>
      <w:r>
        <w:rPr>
          <w:rFonts w:hint="eastAsia" w:ascii="仿宋_GB2312" w:hAnsi="仿宋_GB2312" w:eastAsia="仿宋_GB2312" w:cs="仿宋_GB2312"/>
          <w:sz w:val="32"/>
          <w:szCs w:val="32"/>
        </w:rPr>
        <w:cr/>
      </w:r>
    </w:p>
    <w:p w14:paraId="741BBB5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双相情感障碍（Bipolar Disorder），旧称躁郁症，是一种以情绪极端波动为特征的精神疾病。患者会在情绪高涨的“躁狂期”和情绪低落的“抑郁期”之间反复循环，如同乘坐情绪的过山车，经历着常人难以想象的情绪起伏。双相情感障碍并非简单的情绪波动，而是一种复杂的脑部疾病，影响着患者的思维、情绪、行为和身体机能。大多数患者有反复发作的倾向，每次发作多可缓解，部分可有残留症状或转为慢性。</w:t>
      </w:r>
    </w:p>
    <w:p w14:paraId="64FDC13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元前1世纪古希腊人记载了躁狂和抑郁的关系。1896年德国精神病学家克雷丕林将躁狂与抑郁合二为一，命名为躁狂抑郁性精神病。1957年德国医生Leonhard提出单、双相情感障碍的概念。1980年美国精神障碍诊断和统计手册（DSM）双相情感障碍取代了躁狂抑郁症。2011年WHO的心理健康调查显示全球双相情感障碍的终生患病率为2.4%，其中我国深圳为1.5%，2019年《柳叶刀》数据显示我国双相障碍终生患病率约为0.6%，由于双相情感障碍临床复杂性而导致识别率低，因此实际发病率要远高于统计数据。双相情感障碍患病率男女比例是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1.2 。</w:t>
      </w:r>
    </w:p>
    <w:p w14:paraId="40D1EB5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世界卫生组织（WHO）发布的2019年全球疾病负担（GBD）数据：全球</w:t>
      </w:r>
      <w:bookmarkStart w:id="0" w:name="OLE_LINK1"/>
      <w:r>
        <w:rPr>
          <w:rFonts w:hint="eastAsia" w:ascii="仿宋_GB2312" w:hAnsi="仿宋_GB2312" w:eastAsia="仿宋_GB2312" w:cs="仿宋_GB2312"/>
          <w:sz w:val="32"/>
          <w:szCs w:val="32"/>
        </w:rPr>
        <w:t>双相情感障碍</w:t>
      </w:r>
      <w:bookmarkEnd w:id="0"/>
      <w:r>
        <w:rPr>
          <w:rFonts w:hint="eastAsia" w:ascii="仿宋_GB2312" w:hAnsi="仿宋_GB2312" w:eastAsia="仿宋_GB2312" w:cs="仿宋_GB2312"/>
          <w:sz w:val="32"/>
          <w:szCs w:val="32"/>
        </w:rPr>
        <w:t>患病人数约4000万（占全球人口0.5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1.5%），双相情感障碍是导致精神疾病相关残疾的重要原因之一，在精神疾病中疾病负担排名在第四位。</w:t>
      </w:r>
    </w:p>
    <w:p w14:paraId="3AD52391">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双相情感障碍是怎么发病的</w:t>
      </w:r>
    </w:p>
    <w:p w14:paraId="4E8ED66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双相情感障碍病因和发病机制尚未完全明确，目前认为是遗传、神经生物学、环境及心理社会因素共同作用的结果。双相障碍的遗传度约为80%（同卵双胞胎共病率显著高于异卵双胞胎） 。一级亲属患病风险较普通人群高10倍。涉及多个易感基因（如BDNF、COMT、CACNA1C等），可能与神经递质调节、离子通道功能相关。表观遗传学研究认为DNA甲基化、组蛋白修饰等表观遗传改变可能通过环境压力触发基因表达异常。</w:t>
      </w:r>
    </w:p>
    <w:p w14:paraId="48D341D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神经生物学机制研究发现神经递质失衡与双相情感障碍有关：</w:t>
      </w:r>
      <w:bookmarkStart w:id="1" w:name="OLE_LINK2"/>
      <w:r>
        <w:rPr>
          <w:rFonts w:hint="eastAsia" w:ascii="仿宋_GB2312" w:hAnsi="仿宋_GB2312" w:eastAsia="仿宋_GB2312" w:cs="仿宋_GB2312"/>
          <w:sz w:val="32"/>
          <w:szCs w:val="32"/>
        </w:rPr>
        <w:t>躁狂期多巴胺能活性升高</w:t>
      </w:r>
      <w:bookmarkEnd w:id="1"/>
      <w:r>
        <w:rPr>
          <w:rFonts w:hint="eastAsia" w:ascii="仿宋_GB2312" w:hAnsi="仿宋_GB2312" w:eastAsia="仿宋_GB2312" w:cs="仿宋_GB2312"/>
          <w:sz w:val="32"/>
          <w:szCs w:val="32"/>
        </w:rPr>
        <w:t xml:space="preserve">，抑郁期降低。抑郁期5-羟色胺（5-HT）和去甲肾上腺素（NE）水平低下，影响情绪稳定。  </w:t>
      </w:r>
    </w:p>
    <w:p w14:paraId="6B926BE9">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谷氨酸过度兴奋或GABA抑制不足可能导致神经元损伤和情绪波动。</w:t>
      </w:r>
    </w:p>
    <w:p w14:paraId="637418D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神经内分泌异常方面：（1）下丘脑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垂体</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肾上腺轴（HPA轴），长期应激导致皮质醇水平升高，损害海马功能，与抑郁发作相关。（2）下丘脑-垂体-甲状腺轴（HPT轴），部分患者存在甲状腺激素失调。</w:t>
      </w:r>
    </w:p>
    <w:p w14:paraId="7A176B0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神经影像学研究：双相情感障碍的影像学改变主要涉及额叶、基底节、扣带回、杏仁核、海马等与认知和情感调节关系较密切的神经环路损害也涉及这些脑功能区皮质下白质的微观结构改变，从而出现皮层和皮层下连接损害和脑功能连接损害，最终导致双相障碍的情感症状发作。</w:t>
      </w:r>
    </w:p>
    <w:p w14:paraId="23366C1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神经免疫与炎症： 促炎细胞因子（如IL-6、TNF-α）水平升高，可能通过“炎症-神经递质”通路影响情绪。小胶质细胞激活可能导致神经退行性改变。</w:t>
      </w:r>
    </w:p>
    <w:p w14:paraId="60D3D58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昼夜节律紊乱：生物钟相关基因（如CLOCK、PER3）变异可能扰乱睡眠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觉醒周期，诱发情绪波动。</w:t>
      </w:r>
    </w:p>
    <w:p w14:paraId="4A8CA0D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环境与心理社会因素方面：（1）应激事件，重大生活事件（如丧亲、失业）或慢性压力可能触发易感个体的首次发作或复发。（2）童年创伤，虐待、忽视等早期创伤通过表观遗传机制增加成年后患病风险。（3）物质滥用，酒精、毒品可能通过干扰神经递质加重症状。</w:t>
      </w:r>
    </w:p>
    <w:p w14:paraId="251C47F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（4）季节与光照，季节性模式（如春季躁狂高发）可能与光周期影响生物钟有关。</w:t>
      </w:r>
    </w:p>
    <w:p w14:paraId="338E3EE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目前主流的“素质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应激模型”认为：遗传易感性提供生物学基础，如神经递质系统脆弱性。环境压力（如创伤、应激）触发表观遗传改变或神经可塑性失调，神经环路异常（如前额叶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边缘系统连接失调）导致情绪调节失败，最终表现为躁狂/抑郁发作。</w:t>
      </w:r>
    </w:p>
    <w:p w14:paraId="096F713C">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双相情感障碍的症状有哪些</w:t>
      </w:r>
    </w:p>
    <w:p w14:paraId="378B9724">
      <w:pPr>
        <w:pStyle w:val="30"/>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双相情感障碍的症状分为躁狂/轻躁狂和抑郁两种极端状态。</w:t>
      </w:r>
    </w:p>
    <w:p w14:paraId="19B7BD9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一、躁狂发作（Manic Episode）</w:t>
      </w:r>
    </w:p>
    <w:p w14:paraId="38F1206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情绪高涨或易激惹：患者感到异常兴奋、快乐、过度愉悦，或易怒、暴躁。</w:t>
      </w:r>
    </w:p>
    <w:p w14:paraId="1574BB0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精力旺盛：患者感到精力充沛，睡眠需求减少（如仅睡3小时仍精力充沛）。</w:t>
      </w:r>
    </w:p>
    <w:p w14:paraId="3A37CA7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思维奔逸：思维速度加快，说话语速加快、话题跳跃，可能伴随“意念飘忽”。</w:t>
      </w:r>
    </w:p>
    <w:p w14:paraId="095E3529">
      <w:pPr>
        <w:pStyle w:val="3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过度自信：患者可能表现出不切实际的自信，甚至出现妄想。（如自认拥有超能力或巨额财富）。</w:t>
      </w:r>
    </w:p>
    <w:p w14:paraId="7E2A0CC7">
      <w:pPr>
        <w:pStyle w:val="30"/>
        <w:ind w:left="420"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冲动行为：患者可能做出冲动的决定，如疯狂投资、过度消费、冒险行为、滥用药物或酒精、或性行为冒险。</w:t>
      </w:r>
    </w:p>
    <w:p w14:paraId="2E3938E9">
      <w:pPr>
        <w:ind w:firstLine="640" w:firstLineChars="200"/>
        <w:rPr>
          <w:rFonts w:hint="eastAsia" w:ascii="仿宋_GB2312" w:hAnsi="仿宋_GB2312" w:eastAsia="仿宋_GB2312" w:cs="仿宋_GB2312"/>
          <w:sz w:val="32"/>
          <w:szCs w:val="32"/>
        </w:rPr>
      </w:pPr>
      <w:bookmarkStart w:id="2" w:name="_GoBack"/>
      <w:bookmarkEnd w:id="2"/>
      <w:r>
        <w:rPr>
          <w:rFonts w:hint="eastAsia" w:ascii="仿宋_GB2312" w:hAnsi="仿宋_GB2312" w:eastAsia="仿宋_GB2312" w:cs="仿宋_GB2312"/>
          <w:sz w:val="32"/>
          <w:szCs w:val="32"/>
        </w:rPr>
        <w:t>6. 注意力分散：难以专注，易受外界干扰容易分心。</w:t>
      </w:r>
    </w:p>
    <w:p w14:paraId="7605EE1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二、轻躁狂发作（Hypomanic Episode）</w:t>
      </w:r>
    </w:p>
    <w:p w14:paraId="5C8B4750">
      <w:pPr>
        <w:pStyle w:val="30"/>
        <w:ind w:left="42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症状与躁狂相似，但程度较轻（持续≥4天），社会功能未严重受损，可能表现为高效或创造力提升，但可能进展为躁狂或抑郁。</w:t>
      </w:r>
    </w:p>
    <w:p w14:paraId="05B8929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三、抑郁发作（Depressive Episode）</w:t>
      </w:r>
    </w:p>
    <w:p w14:paraId="14DBAE1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持续情绪低落：患者感到极度的悲伤、空虚感或绝望。</w:t>
      </w:r>
    </w:p>
    <w:p w14:paraId="4AB2E4B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兴趣丧失：对以往爱好或活动失去兴趣。</w:t>
      </w:r>
    </w:p>
    <w:p w14:paraId="4BFD7FC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躯体症状：食欲/体重显著变化、失眠或嗜睡、疲劳乏力。</w:t>
      </w:r>
    </w:p>
    <w:p w14:paraId="571B9E5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认知障碍：注意力下降、决策困难、自责或无价值感。</w:t>
      </w:r>
    </w:p>
    <w:p w14:paraId="5996D13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自杀倾向：反复出现死亡或自杀念头。</w:t>
      </w:r>
    </w:p>
    <w:p w14:paraId="3D478B6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四、混合状态（Mixed Features）</w:t>
      </w:r>
    </w:p>
    <w:p w14:paraId="7CBB3E0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同时出现躁狂与抑郁症状（如情绪低落伴躁动、失眠、思维奔逸），自杀风险较高。</w:t>
      </w:r>
    </w:p>
    <w:p w14:paraId="058B98A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五、其他常见症状</w:t>
      </w:r>
    </w:p>
    <w:p w14:paraId="576CEFE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焦虑或激越：紧张不安或坐立难安。</w:t>
      </w:r>
    </w:p>
    <w:p w14:paraId="093D311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精神病性症状：严重时可能出现幻觉或妄想。</w:t>
      </w:r>
    </w:p>
    <w:p w14:paraId="0B90F89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认知功能损害：记忆力、执行功能下降。</w:t>
      </w:r>
    </w:p>
    <w:p w14:paraId="539DFD1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物质滥用：通过酒精或药物缓解情绪。</w:t>
      </w:r>
    </w:p>
    <w:p w14:paraId="09C569B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人际关系问题：因情绪波动引发冲突。</w:t>
      </w:r>
    </w:p>
    <w:p w14:paraId="40B6F542">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双相情感障碍有几种类型</w:t>
      </w:r>
    </w:p>
    <w:p w14:paraId="6404D84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双相情感障碍主要分为以下几种类型：</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 xml:space="preserve">   双相 I 型障碍：患者至少经历过一次躁狂发作，通常伴有抑郁发作。躁狂发作可能非常严重，甚至需要住院治疗。</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 xml:space="preserve">   双相 II 型障碍：患者经历过至少一次轻躁狂发作和一次抑郁发作，但没有经历过完全的躁狂发作。轻躁狂发作虽然不如躁狂发作严重，但仍会影响患者的日常生活。</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 xml:space="preserve">   环性心境障碍（Cyclothymic Disorder）：患者经历多次轻躁狂和抑郁症状，但症状的严重程度和持续时间不足以诊断为躁狂或抑郁发作。这种类型的症状持续时间较长（至少两年）。</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其他特定和非特定的双相及相关障碍以及快速循环型：这些类型包括不符合上述标准但仍有明显情绪波动的症状。</w:t>
      </w:r>
    </w:p>
    <w:p w14:paraId="7A3D7DEB">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如何评估双相情感障碍</w:t>
      </w:r>
    </w:p>
    <w:p w14:paraId="2B7C8F0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评估要点首先是临床访谈，详细询问患者症状史，明确躁狂（情绪高涨、易激惹、精力过剩）和抑郁（情绪低落、兴趣丧失）的发作频率、持续时间及严重程度。了解病程模式，记录首次发作时间、发作间隔及是否伴混合特征（如抑郁期出现躁狂症状）。 询问家族史，了解直系亲属中有无双相障碍、抑郁症或其他精神疾病史。还要注意共病筛查，是否合并焦虑、物质滥用、ADHD或人格障碍等。  </w:t>
      </w:r>
    </w:p>
    <w:p w14:paraId="2A058C0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心理量表辅助评估有杨氏躁狂评定量表（YMRS）、轻躁症状量表（HCL-32）、汉密尔顿抑郁量表（HAMD）、PHQ-9。还要评估社会、职业功能是否受损（如因症状导致工作或人际关系问题）。  </w:t>
      </w:r>
    </w:p>
    <w:p w14:paraId="31D994A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通过体检、实验室检查（如甲状腺功能、药物筛查）排除激素紊乱、神经系统疾病或药物诱发的情绪波动。</w:t>
      </w:r>
    </w:p>
    <w:p w14:paraId="2EAC40B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特别要注意误诊风险，双相</w:t>
      </w:r>
      <w:r>
        <w:rPr>
          <w:rFonts w:hint="eastAsia" w:ascii="仿宋_GB2312" w:hAnsi="仿宋_GB2312" w:eastAsia="仿宋_GB2312" w:cs="仿宋_GB2312"/>
          <w:sz w:val="32"/>
          <w:szCs w:val="32"/>
          <w:lang w:eastAsia="zh-CN"/>
        </w:rPr>
        <w:t>Ⅱ型</w:t>
      </w:r>
      <w:r>
        <w:rPr>
          <w:rFonts w:hint="eastAsia" w:ascii="仿宋_GB2312" w:hAnsi="仿宋_GB2312" w:eastAsia="仿宋_GB2312" w:cs="仿宋_GB2312"/>
          <w:sz w:val="32"/>
          <w:szCs w:val="32"/>
        </w:rPr>
        <w:t>常被误诊为抑郁症，需详细追溯轻躁狂史（患者可能认为轻躁狂是“正常状态”）。因为儿童/青少年的症状可能不典型，如易激惹替代情绪高涨，需谨慎评估。针对部分患者需数月观察甚至长期追踪才能明确诊断，尤其症状不典型者。</w:t>
      </w:r>
    </w:p>
    <w:p w14:paraId="6C24FC7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诊断标准（DSM-5/ICD-11）</w:t>
      </w:r>
    </w:p>
    <w:p w14:paraId="6F1ACCF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核心分型</w:t>
      </w:r>
    </w:p>
    <w:p w14:paraId="72362B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双相I型：至少1次躁狂发作（持续≥7天或需住院），可能伴抑郁发作。  </w:t>
      </w:r>
    </w:p>
    <w:p w14:paraId="233FD0E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双相</w:t>
      </w:r>
      <w:r>
        <w:rPr>
          <w:rFonts w:hint="eastAsia" w:ascii="仿宋_GB2312" w:hAnsi="仿宋_GB2312" w:eastAsia="仿宋_GB2312" w:cs="仿宋_GB2312"/>
          <w:sz w:val="32"/>
          <w:szCs w:val="32"/>
          <w:lang w:eastAsia="zh-CN"/>
        </w:rPr>
        <w:t>Ⅱ型</w:t>
      </w:r>
      <w:r>
        <w:rPr>
          <w:rFonts w:hint="eastAsia" w:ascii="仿宋_GB2312" w:hAnsi="仿宋_GB2312" w:eastAsia="仿宋_GB2312" w:cs="仿宋_GB2312"/>
          <w:sz w:val="32"/>
          <w:szCs w:val="32"/>
        </w:rPr>
        <w:t xml:space="preserve">：至少1次轻躁狂（持续≥4天）和1次抑郁发作，无严重躁狂。  </w:t>
      </w:r>
    </w:p>
    <w:p w14:paraId="623D20F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环性心境障碍：持续≥2年的轻躁狂+抑郁症状（未达发作标准）。  </w:t>
      </w:r>
    </w:p>
    <w:p w14:paraId="18D6DEF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症状特征</w:t>
      </w:r>
    </w:p>
    <w:p w14:paraId="063401D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躁狂发作：情绪异常高涨/易激惹，伴随至少3项（如睡眠需求减少、思维奔逸、冒险行为）。  </w:t>
      </w:r>
    </w:p>
    <w:p w14:paraId="1438899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轻躁狂：症状与躁狂发作类似，但较轻且不影响社会功能（常被患者忽视）。  </w:t>
      </w:r>
    </w:p>
    <w:p w14:paraId="72D9C6E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混合发作：躁狂与抑郁症状同时存在（如情绪低落伴过度活跃）。</w:t>
      </w:r>
    </w:p>
    <w:p w14:paraId="40134B74">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双相情感障碍怎么治疗</w:t>
      </w:r>
    </w:p>
    <w:p w14:paraId="58D39CA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双相障碍（Bipolar Disorder）的治疗目标是稳定情绪、减少发作频率和严重程度、改善社会功能并预防复发。治疗需根据患者的分型（如双相I型、</w:t>
      </w:r>
      <w:r>
        <w:rPr>
          <w:rFonts w:hint="eastAsia" w:ascii="仿宋_GB2312" w:hAnsi="仿宋_GB2312" w:eastAsia="仿宋_GB2312" w:cs="仿宋_GB2312"/>
          <w:sz w:val="32"/>
          <w:szCs w:val="32"/>
          <w:lang w:eastAsia="zh-CN"/>
        </w:rPr>
        <w:t>Ⅱ型</w:t>
      </w:r>
      <w:r>
        <w:rPr>
          <w:rFonts w:hint="eastAsia" w:ascii="仿宋_GB2312" w:hAnsi="仿宋_GB2312" w:eastAsia="仿宋_GB2312" w:cs="仿宋_GB2312"/>
          <w:sz w:val="32"/>
          <w:szCs w:val="32"/>
        </w:rPr>
        <w:t>）、症状特征（躁狂、抑郁或混合发作）及个体情况（如共病、药物耐受性）制定个体化方案。以下是核心治疗策略：</w:t>
      </w:r>
    </w:p>
    <w:p w14:paraId="5D265DF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一、药物治疗</w:t>
      </w:r>
    </w:p>
    <w:p w14:paraId="23F0C76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药物治疗是双相障碍的核心干预手段，需长期维持治疗以预防复发。常用药物包括：</w:t>
      </w:r>
    </w:p>
    <w:p w14:paraId="323AB00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心境稳定剂（Mood Stabilizers）</w:t>
      </w:r>
    </w:p>
    <w:p w14:paraId="34E48003">
      <w:pPr>
        <w:ind w:firstLine="960" w:firstLineChars="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锂盐（Lithium）是经典药物，对躁狂和抑郁均有效，可降低自杀风险。适用于双相I型急性躁狂及长期维持治疗。 注意需定期监测血锂浓度（目标范围：0.6-1.2 mmol/L），警惕甲状腺/肾功能损害。</w:t>
      </w:r>
    </w:p>
    <w:p w14:paraId="76EA5868">
      <w:pPr>
        <w:ind w:firstLine="960" w:firstLineChars="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丙戊酸盐（Valproate）对躁狂和混合发作效果显著，起效快于锂盐。适用于快速循环型双相障碍、混合发作。禁用于孕妇禁用（致畸风险）。</w:t>
      </w:r>
    </w:p>
    <w:p w14:paraId="13205F90">
      <w:pPr>
        <w:ind w:firstLine="960" w:firstLineChars="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卡马西平/奥卡西平是二线选择，用于锂盐或丙戊酸盐无效者。注意可能诱发药物相互作用，需监测血药浓度。</w:t>
      </w:r>
    </w:p>
    <w:p w14:paraId="1C0CF7F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抗精神病药（Atypical Antipsychotics）用于急性躁狂或伴精神病性症状的双相障碍，部分药物兼具抗抑郁作用。喹硫平（Quetiapine）对躁狂和抑郁均有效，可用于维持治疗。  奥氮平（Olanzapine）可以强效抗躁狂，但易致体重增加、代谢综合征。 鲁拉西酮（Lurasidone）针对双相抑郁，较少引发体重问题。阿立哌唑（Aripiprazole）对躁狂有效，耐受性较好。</w:t>
      </w:r>
    </w:p>
    <w:p w14:paraId="63841EF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抗抑郁药必须谨慎使用！即使双相抑郁期使用需联合心境稳定剂或抗精神病药，避免单用（可能诱发躁狂）。选择SSRIs（如舍曲林）相对安全，避免SNRIs或TCAs（转躁风险更高），症状缓解后逐渐减停，避免长期使用。</w:t>
      </w:r>
    </w:p>
    <w:p w14:paraId="3798D40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其他药物有拉莫三嗪（Lamotrigine）可以预防双相抑郁复发，对躁狂作用弱，需缓慢加量（防皮疹）。苯二氮䓬类短期缓解躁狂期的焦虑或失眠（如劳拉西泮）。</w:t>
      </w:r>
    </w:p>
    <w:p w14:paraId="5D7F13C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二、心理治疗</w:t>
      </w:r>
    </w:p>
    <w:p w14:paraId="6F265DD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心理治疗是药物治疗的重要补充，可提高服药依从性、减少复发风险并改善社会功能。</w:t>
      </w:r>
    </w:p>
    <w:p w14:paraId="58F6CAF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认知行为疗法（CBT）帮助患者识别情绪波动触发因素，修正负面思维，学习应对策略（如躁狂期的冲动控制）。</w:t>
      </w:r>
    </w:p>
    <w:p w14:paraId="16CC301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家庭焦点治疗（FFT）改善家庭沟通，减少高情感表达（如批评或过度保护），增强家庭支持系统。</w:t>
      </w:r>
    </w:p>
    <w:p w14:paraId="4CE1232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人际与社会节律疗法（IPSRT）通过规律作息（睡眠、饮食、活动）稳定生物钟，减少因节律紊乱诱发的发作。</w:t>
      </w:r>
    </w:p>
    <w:p w14:paraId="1AE1615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心理教育，帮助患者及家属理解疾病本质、药物作用及复发预警信号（如睡眠减少、思维加速）。</w:t>
      </w:r>
    </w:p>
    <w:p w14:paraId="222E117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三、其他干预措施</w:t>
      </w:r>
    </w:p>
    <w:p w14:paraId="050D61F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电抽搐治疗（ECT）适用于难治性双相障碍、严重自杀倾向或妊娠期无法用药者。能够快速缓解急性躁狂或抑郁，需维持治疗预防复发。</w:t>
      </w:r>
    </w:p>
    <w:p w14:paraId="743B96E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经颅磁刺激（TMS） 针对双相抑郁的二线物理治疗，安全性较高。</w:t>
      </w:r>
    </w:p>
    <w:p w14:paraId="14A392A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 生活方式调整  </w:t>
      </w:r>
    </w:p>
    <w:p w14:paraId="623EF82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睡眠管理：保持规律作息，避免熬夜或睡眠剥夺（易诱发躁狂）。  </w:t>
      </w:r>
    </w:p>
    <w:p w14:paraId="24C39D7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避免物质滥用：酒精、咖啡因或毒品可能加重症状。  </w:t>
      </w:r>
    </w:p>
    <w:p w14:paraId="7F7C537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运动与饮食：适度运动、Omega-3脂肪酸补充可能辅助情绪稳定。</w:t>
      </w:r>
    </w:p>
    <w:p w14:paraId="46F264B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四、特殊人群治疗注意事项</w:t>
      </w:r>
    </w:p>
    <w:p w14:paraId="5C0EE68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 儿童/青少年 </w:t>
      </w:r>
    </w:p>
    <w:p w14:paraId="42AE69F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优先选择锂盐或抗精神病药（如阿立哌唑），密切监测生长发育及代谢指标。</w:t>
      </w:r>
    </w:p>
    <w:p w14:paraId="2EC6ED6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妊娠期女性</w:t>
      </w:r>
    </w:p>
    <w:p w14:paraId="208EDFE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孕早期避免丙戊酸盐和卡马西平（致畸风险），锂盐需谨慎（监测血药浓度）。  </w:t>
      </w:r>
    </w:p>
    <w:p w14:paraId="2430D6C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非药物干预（如心理治疗）优先，必要时使用低风险药物（如喹硫平）。</w:t>
      </w:r>
    </w:p>
    <w:p w14:paraId="65081AE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共病患者</w:t>
      </w:r>
    </w:p>
    <w:p w14:paraId="02FDEA6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焦虑/物质滥用：需同步治疗，如认知行为疗法联合戒断计划。  </w:t>
      </w:r>
    </w:p>
    <w:p w14:paraId="6215B9A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代谢综合征：选择对体重影响小的药物（如鲁拉西酮），定期监测血糖、血脂。</w:t>
      </w:r>
    </w:p>
    <w:p w14:paraId="55C08BE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五、长期管理</w:t>
      </w:r>
    </w:p>
    <w:p w14:paraId="56C4E20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维持治疗：症状缓解后需继续用药至少2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5年（甚至终身），突然停药易复发。  </w:t>
      </w:r>
    </w:p>
    <w:p w14:paraId="5A202C1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定期随访：每3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6个月评估症状、药物副作用及社会功能。  </w:t>
      </w:r>
    </w:p>
    <w:p w14:paraId="1F4755E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复发预警：教育患者识别早期症状（如睡眠需求减少、过度消费），及时就医调整治疗。</w:t>
      </w:r>
    </w:p>
    <w:p w14:paraId="52C2A62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六、治疗挑战与应对</w:t>
      </w:r>
    </w:p>
    <w:p w14:paraId="106E4BD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 依从性差：因躁狂期患者缺乏自知力或抵触治疗，需加强心理教育及家庭监督。  </w:t>
      </w:r>
    </w:p>
    <w:p w14:paraId="7261419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 快速循环型（每年≥4次发作）：避免抗抑郁药，优先丙戊酸盐或非典型抗精神病药。  </w:t>
      </w:r>
    </w:p>
    <w:p w14:paraId="181F063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混合发作：慎用抗抑郁药，联合心境稳定剂与抗精神病药。</w:t>
      </w:r>
    </w:p>
    <w:p w14:paraId="4C276D3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双相障碍需多维度综合治疗，以药物为核心，结合心理干预和生活方式调整。治疗强调个体化、长期化和家庭参与，目标是帮助患者实现情绪稳定和功能康复。任何药物调整均需在精神科医生指导下进行，避免自行停药或换药。</w:t>
      </w:r>
    </w:p>
    <w:p w14:paraId="5299089D">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结束语</w:t>
      </w:r>
    </w:p>
    <w:p w14:paraId="672D601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双相情感障碍是遗传与环境交互作用下的复杂疾病，涉及神经递质、环路、免疫等多系统异常。未来研究需整合多组学数据（基因组、影像学、代谢组）以揭示其全貌，并为精准治疗提供依据。双相情感障碍的治疗通常需要长期管理，包括药物治疗、心理治疗和生活方式调整。虽然该疾病无法完全治愈，但通过药物治疗、心理治疗和生活方式调整，患者可以有效地管理症状，提高生活质量。早期诊断和干预是关键，社会支持和理解也对患者的康复至关重要。</w:t>
      </w:r>
    </w:p>
    <w:p w14:paraId="6793680B">
      <w:pPr>
        <w:ind w:firstLine="640" w:firstLineChars="200"/>
        <w:rPr>
          <w:rFonts w:hint="eastAsia" w:ascii="仿宋_GB2312" w:hAnsi="仿宋_GB2312" w:eastAsia="仿宋_GB2312" w:cs="仿宋_GB2312"/>
          <w:sz w:val="32"/>
          <w:szCs w:val="32"/>
        </w:rPr>
      </w:pPr>
    </w:p>
    <w:p w14:paraId="218235D4">
      <w:pPr>
        <w:ind w:firstLine="643" w:firstLineChars="200"/>
        <w:rPr>
          <w:rFonts w:hint="eastAsia" w:ascii="仿宋_GB2312" w:hAnsi="仿宋_GB2312" w:eastAsia="仿宋_GB2312" w:cs="仿宋_GB2312"/>
          <w:b/>
          <w:bCs/>
          <w:sz w:val="32"/>
          <w:szCs w:val="32"/>
        </w:rPr>
      </w:pPr>
    </w:p>
    <w:p w14:paraId="138962DD">
      <w:pPr>
        <w:ind w:firstLine="643" w:firstLineChars="200"/>
        <w:rPr>
          <w:rFonts w:hint="eastAsia" w:ascii="仿宋_GB2312" w:hAnsi="仿宋_GB2312" w:eastAsia="仿宋_GB2312" w:cs="仿宋_GB2312"/>
          <w:b/>
          <w:bCs/>
          <w:sz w:val="32"/>
          <w:szCs w:val="32"/>
        </w:rPr>
      </w:pPr>
    </w:p>
    <w:p w14:paraId="055E71BB">
      <w:pPr>
        <w:ind w:firstLine="643" w:firstLineChars="200"/>
        <w:rPr>
          <w:rFonts w:hint="eastAsia" w:ascii="仿宋_GB2312" w:hAnsi="仿宋_GB2312" w:eastAsia="仿宋_GB2312" w:cs="仿宋_GB2312"/>
          <w:b/>
          <w:bCs/>
          <w:sz w:val="32"/>
          <w:szCs w:val="32"/>
        </w:rPr>
      </w:pPr>
    </w:p>
    <w:p w14:paraId="1122DA24">
      <w:pPr>
        <w:ind w:firstLine="643" w:firstLineChars="200"/>
        <w:rPr>
          <w:rFonts w:hint="eastAsia" w:ascii="仿宋_GB2312" w:hAnsi="仿宋_GB2312" w:eastAsia="仿宋_GB2312" w:cs="仿宋_GB2312"/>
          <w:b/>
          <w:bCs/>
          <w:sz w:val="32"/>
          <w:szCs w:val="32"/>
        </w:rPr>
      </w:pPr>
    </w:p>
    <w:p w14:paraId="024AEE14">
      <w:pPr>
        <w:ind w:firstLine="643" w:firstLineChars="200"/>
        <w:rPr>
          <w:rFonts w:hint="eastAsia" w:ascii="仿宋_GB2312" w:hAnsi="仿宋_GB2312" w:eastAsia="仿宋_GB2312" w:cs="仿宋_GB2312"/>
          <w:b/>
          <w:bCs/>
          <w:sz w:val="32"/>
          <w:szCs w:val="32"/>
        </w:rPr>
      </w:pPr>
    </w:p>
    <w:p w14:paraId="1D6F3542">
      <w:pPr>
        <w:ind w:firstLine="643" w:firstLineChars="200"/>
        <w:rPr>
          <w:rFonts w:hint="eastAsia" w:ascii="仿宋_GB2312" w:hAnsi="仿宋_GB2312" w:eastAsia="仿宋_GB2312" w:cs="仿宋_GB2312"/>
          <w:b/>
          <w:bCs/>
          <w:sz w:val="32"/>
          <w:szCs w:val="32"/>
        </w:rPr>
      </w:pPr>
    </w:p>
    <w:p w14:paraId="75A55D33">
      <w:pPr>
        <w:ind w:firstLine="643" w:firstLineChars="200"/>
        <w:rPr>
          <w:rFonts w:hint="eastAsia" w:ascii="仿宋_GB2312" w:hAnsi="仿宋_GB2312" w:eastAsia="仿宋_GB2312" w:cs="仿宋_GB2312"/>
          <w:b/>
          <w:bCs/>
          <w:sz w:val="32"/>
          <w:szCs w:val="32"/>
        </w:rPr>
      </w:pPr>
    </w:p>
    <w:p w14:paraId="10707768">
      <w:pPr>
        <w:ind w:firstLine="643" w:firstLineChars="200"/>
        <w:rPr>
          <w:rFonts w:hint="eastAsia" w:ascii="仿宋_GB2312" w:hAnsi="仿宋_GB2312" w:eastAsia="仿宋_GB2312" w:cs="仿宋_GB2312"/>
          <w:b/>
          <w:bCs/>
          <w:sz w:val="32"/>
          <w:szCs w:val="32"/>
        </w:rPr>
      </w:pPr>
    </w:p>
    <w:p w14:paraId="7DF3DFC1">
      <w:pPr>
        <w:ind w:firstLine="643" w:firstLineChars="200"/>
        <w:rPr>
          <w:rFonts w:hint="eastAsia" w:ascii="仿宋_GB2312" w:hAnsi="仿宋_GB2312" w:eastAsia="仿宋_GB2312" w:cs="仿宋_GB2312"/>
          <w:b/>
          <w:bCs/>
          <w:sz w:val="32"/>
          <w:szCs w:val="32"/>
        </w:rPr>
      </w:pPr>
    </w:p>
    <w:p w14:paraId="69FCB9FD">
      <w:pPr>
        <w:ind w:firstLine="643" w:firstLineChars="200"/>
        <w:rPr>
          <w:rFonts w:hint="eastAsia" w:ascii="仿宋_GB2312" w:hAnsi="仿宋_GB2312" w:eastAsia="仿宋_GB2312" w:cs="仿宋_GB2312"/>
          <w:b/>
          <w:bCs/>
          <w:sz w:val="32"/>
          <w:szCs w:val="32"/>
        </w:rPr>
      </w:pPr>
    </w:p>
    <w:p w14:paraId="0B3D29EE">
      <w:pPr>
        <w:ind w:firstLine="643" w:firstLineChars="200"/>
        <w:rPr>
          <w:rFonts w:hint="eastAsia" w:ascii="仿宋_GB2312" w:hAnsi="仿宋_GB2312" w:eastAsia="仿宋_GB2312" w:cs="仿宋_GB2312"/>
          <w:b/>
          <w:bCs/>
          <w:sz w:val="32"/>
          <w:szCs w:val="32"/>
        </w:rPr>
      </w:pPr>
    </w:p>
    <w:p w14:paraId="7BFA00A2">
      <w:pPr>
        <w:rPr>
          <w:rFonts w:hint="eastAsia" w:ascii="仿宋_GB2312" w:hAnsi="仿宋_GB2312" w:eastAsia="仿宋_GB2312" w:cs="仿宋_GB2312"/>
          <w:b/>
          <w:bCs/>
          <w:sz w:val="32"/>
          <w:szCs w:val="32"/>
        </w:rPr>
      </w:pPr>
    </w:p>
    <w:p w14:paraId="3919D662">
      <w:pPr>
        <w:rPr>
          <w:rFonts w:hint="eastAsia" w:ascii="仿宋_GB2312" w:hAnsi="仿宋_GB2312" w:eastAsia="仿宋_GB2312" w:cs="仿宋_GB2312"/>
          <w:b/>
          <w:bCs/>
          <w:sz w:val="32"/>
          <w:szCs w:val="32"/>
        </w:rPr>
      </w:pPr>
    </w:p>
    <w:p w14:paraId="1FF36DAE">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附测试选择题</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一、单选题</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1、2011年WHO发布的世界范围内双相情感障碍终身患病率大约是（ ）。</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A、1.</w:t>
      </w:r>
      <w:r>
        <w:rPr>
          <w:rFonts w:hint="eastAsia" w:ascii="仿宋_GB2312" w:hAnsi="仿宋_GB2312" w:eastAsia="仿宋_GB2312" w:cs="仿宋_GB2312"/>
          <w:sz w:val="32"/>
          <w:szCs w:val="32"/>
          <w:lang w:eastAsia="zh-CN"/>
        </w:rPr>
        <w:t>1%</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B、0.6%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0.75%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C、0.</w:t>
      </w:r>
      <w:r>
        <w:rPr>
          <w:rFonts w:hint="eastAsia" w:ascii="仿宋_GB2312" w:hAnsi="仿宋_GB2312" w:eastAsia="仿宋_GB2312" w:cs="仿宋_GB2312"/>
          <w:sz w:val="32"/>
          <w:szCs w:val="32"/>
          <w:lang w:eastAsia="zh-CN"/>
        </w:rPr>
        <w:t>9%</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D、2.4%</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2、双相情感障碍临床病例中，男女比例是？（ ）</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 xml:space="preserve">A、1:1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B、1:2        C、1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1.2       D、3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3、双相情感障碍名称何时取代躁狂抑郁症？</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 xml:space="preserve">A、古希腊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B、19世纪末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C、1980年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D、1957年</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 xml:space="preserve">4、双相情感障碍的遗传度是（ ）？ </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 xml:space="preserve">A、100%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B、50%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C、80%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D、60%</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5、关于双相抑郁的药物治疗说法正确的是：</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A、大多数患者对喹硫平的耐受性差。</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B、主要用帕罗西汀治疗，一般一天吃三次。</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C、三环抗抑郁药有比较高的安全性。</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D、轻至中度的双相抑郁应避免使用抗抑郁药物。</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二、多选题</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6、双相情感障碍的发病机制研究中，说法正确的有（ ）。</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 xml:space="preserve">A、躁狂期多巴胺能活性升高  </w:t>
      </w:r>
    </w:p>
    <w:p w14:paraId="118079EC">
      <w:pPr>
        <w:numPr>
          <w:ilvl w:val="0"/>
          <w:numId w:val="2"/>
        </w:numPr>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抑郁期多巴胺能活性升高</w:t>
      </w:r>
      <w:r>
        <w:rPr>
          <w:rFonts w:hint="eastAsia" w:ascii="仿宋_GB2312" w:hAnsi="仿宋_GB2312" w:eastAsia="仿宋_GB2312" w:cs="仿宋_GB2312"/>
          <w:sz w:val="32"/>
          <w:szCs w:val="32"/>
        </w:rPr>
        <w:t xml:space="preserve">  </w:t>
      </w:r>
    </w:p>
    <w:p w14:paraId="3BFE23D9">
      <w:pPr>
        <w:numPr>
          <w:ilvl w:val="0"/>
          <w:numId w:val="2"/>
        </w:numPr>
        <w:ind w:left="0" w:leftChars="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抑郁期5-羟色胺（5-HT）和去甲肾上腺素（NE）水平低下  </w:t>
      </w:r>
    </w:p>
    <w:p w14:paraId="2448EEE0">
      <w:pPr>
        <w:numPr>
          <w:numId w:val="0"/>
        </w:numPr>
        <w:ind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D、长期应激导致皮质醇水平升高，与抑郁发作相关。</w:t>
      </w:r>
    </w:p>
    <w:p w14:paraId="654BD73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7、下列哪些是双相情感障碍的临床表现？（ ）</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A、情绪高涨或易激惹</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B、精力充沛，睡眠需求减少</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C、持续情绪低落</w:t>
      </w:r>
    </w:p>
    <w:p w14:paraId="4195127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D、兴趣丧失</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8、下列哪些量表可以用来评估双相情感障碍的症状？（ ）</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 xml:space="preserve">A、PANSS </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B、轻躁症状量表（HCL-32）</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C、杨氏躁狂评定量表（YMRS）</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D、HAMD</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9、关于双相情感障碍的药物治疗以下说法错误的是（ ）。</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A、TCAs副反应少，是治疗双相抑郁的一线用药。</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B、锂盐是经典药物，对躁狂和抑郁均有效，可降低自杀风险。</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C、喹硫平对躁狂和抑郁均有效，可用于维持治疗。</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D、卡马西平/奥卡西平是一线选择，相对于锂盐或丙戊酸盐更有效。</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10、双相情感障碍包括哪些类型（）。</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A、环性心境障碍</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rPr>
        <w:t>B、双相 II 型障碍</w:t>
      </w:r>
    </w:p>
    <w:p w14:paraId="443B152F">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C、双相I型障碍</w:t>
      </w:r>
    </w:p>
    <w:p w14:paraId="7697F814">
      <w:pPr>
        <w:rPr>
          <w:rFonts w:hint="eastAsia"/>
        </w:rPr>
      </w:pPr>
      <w:r>
        <w:rPr>
          <w:rFonts w:hint="eastAsia" w:ascii="仿宋_GB2312" w:hAnsi="仿宋_GB2312" w:eastAsia="仿宋_GB2312" w:cs="仿宋_GB2312"/>
          <w:sz w:val="32"/>
          <w:szCs w:val="32"/>
        </w:rPr>
        <w:t>D、非特定的双相及相关障碍</w:t>
      </w:r>
      <w:r>
        <w:rPr>
          <w:rFonts w:hint="eastAsia" w:ascii="仿宋_GB2312" w:hAnsi="仿宋_GB2312" w:eastAsia="仿宋_GB2312" w:cs="仿宋_GB2312"/>
          <w:sz w:val="32"/>
          <w:szCs w:val="32"/>
        </w:rPr>
        <w:cr/>
      </w:r>
      <w:r>
        <w:rPr>
          <w:rFonts w:hint="eastAsia"/>
        </w:rPr>
        <w:cr/>
      </w:r>
    </w:p>
    <w:p w14:paraId="2DD5EF49">
      <w:pPr>
        <w:pStyle w:val="30"/>
        <w:ind w:left="420" w:firstLine="420" w:firstLineChars="200"/>
        <w:rPr>
          <w:rFonts w:hint="eastAsia"/>
        </w:rPr>
      </w:pPr>
    </w:p>
    <w:sectPr>
      <w:pgSz w:w="11906" w:h="16838"/>
      <w:pgMar w:top="1814" w:right="1587" w:bottom="1701"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BA652C"/>
    <w:multiLevelType w:val="singleLevel"/>
    <w:tmpl w:val="3BBA652C"/>
    <w:lvl w:ilvl="0" w:tentative="0">
      <w:start w:val="2"/>
      <w:numFmt w:val="upperLetter"/>
      <w:suff w:val="nothing"/>
      <w:lvlText w:val="%1、"/>
      <w:lvlJc w:val="left"/>
    </w:lvl>
  </w:abstractNum>
  <w:abstractNum w:abstractNumId="1">
    <w:nsid w:val="775B2DE2"/>
    <w:multiLevelType w:val="singleLevel"/>
    <w:tmpl w:val="775B2DE2"/>
    <w:lvl w:ilvl="0" w:tentative="0">
      <w:start w:val="1"/>
      <w:numFmt w:val="chineseCounting"/>
      <w:suff w:val="space"/>
      <w:lvlText w:val="第%1讲"/>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7AE"/>
    <w:rsid w:val="00023EDB"/>
    <w:rsid w:val="00047B50"/>
    <w:rsid w:val="00075915"/>
    <w:rsid w:val="00082C9F"/>
    <w:rsid w:val="000E21FC"/>
    <w:rsid w:val="00106797"/>
    <w:rsid w:val="00113646"/>
    <w:rsid w:val="001168B7"/>
    <w:rsid w:val="001932EE"/>
    <w:rsid w:val="001B6549"/>
    <w:rsid w:val="001B711D"/>
    <w:rsid w:val="001D5D47"/>
    <w:rsid w:val="002037D8"/>
    <w:rsid w:val="0022089A"/>
    <w:rsid w:val="002A7D65"/>
    <w:rsid w:val="002E23C4"/>
    <w:rsid w:val="003131B1"/>
    <w:rsid w:val="003B5469"/>
    <w:rsid w:val="003D20B7"/>
    <w:rsid w:val="0043078D"/>
    <w:rsid w:val="00442CD6"/>
    <w:rsid w:val="004438E1"/>
    <w:rsid w:val="00456EF6"/>
    <w:rsid w:val="0047371C"/>
    <w:rsid w:val="004F4A80"/>
    <w:rsid w:val="00554A2E"/>
    <w:rsid w:val="00593F19"/>
    <w:rsid w:val="005A06B1"/>
    <w:rsid w:val="005A33BF"/>
    <w:rsid w:val="005A360A"/>
    <w:rsid w:val="005F2D52"/>
    <w:rsid w:val="006E7F9C"/>
    <w:rsid w:val="006F4A1D"/>
    <w:rsid w:val="00731426"/>
    <w:rsid w:val="00761B1F"/>
    <w:rsid w:val="007B4E6F"/>
    <w:rsid w:val="007F14F9"/>
    <w:rsid w:val="007F1C77"/>
    <w:rsid w:val="008245D6"/>
    <w:rsid w:val="00866D32"/>
    <w:rsid w:val="00892DE0"/>
    <w:rsid w:val="008A7CDF"/>
    <w:rsid w:val="00910934"/>
    <w:rsid w:val="009715C3"/>
    <w:rsid w:val="009757AF"/>
    <w:rsid w:val="009B5DDC"/>
    <w:rsid w:val="00A33D9D"/>
    <w:rsid w:val="00A822EC"/>
    <w:rsid w:val="00AA5E48"/>
    <w:rsid w:val="00AB1577"/>
    <w:rsid w:val="00AB5FBD"/>
    <w:rsid w:val="00AB7C12"/>
    <w:rsid w:val="00AD54F3"/>
    <w:rsid w:val="00B16C4C"/>
    <w:rsid w:val="00B31F19"/>
    <w:rsid w:val="00B37D78"/>
    <w:rsid w:val="00B633B0"/>
    <w:rsid w:val="00B81784"/>
    <w:rsid w:val="00B8402B"/>
    <w:rsid w:val="00BA4CB8"/>
    <w:rsid w:val="00BF224E"/>
    <w:rsid w:val="00C4753E"/>
    <w:rsid w:val="00C864D2"/>
    <w:rsid w:val="00CB1E55"/>
    <w:rsid w:val="00D63A72"/>
    <w:rsid w:val="00DB710A"/>
    <w:rsid w:val="00DC1217"/>
    <w:rsid w:val="00DC1413"/>
    <w:rsid w:val="00DC322E"/>
    <w:rsid w:val="00E00DFD"/>
    <w:rsid w:val="00E07F81"/>
    <w:rsid w:val="00E24371"/>
    <w:rsid w:val="00E77D0D"/>
    <w:rsid w:val="00E92EC9"/>
    <w:rsid w:val="00EA0465"/>
    <w:rsid w:val="00F15F51"/>
    <w:rsid w:val="00F5455F"/>
    <w:rsid w:val="00F81500"/>
    <w:rsid w:val="00FE4902"/>
    <w:rsid w:val="00FF37AE"/>
    <w:rsid w:val="017308F3"/>
    <w:rsid w:val="32364B30"/>
    <w:rsid w:val="3A0557A4"/>
    <w:rsid w:val="43F171C2"/>
    <w:rsid w:val="516621E4"/>
    <w:rsid w:val="6E8B52E0"/>
    <w:rsid w:val="78DC3B2A"/>
    <w:rsid w:val="7E327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5466</Words>
  <Characters>5983</Characters>
  <Lines>45</Lines>
  <Paragraphs>12</Paragraphs>
  <TotalTime>12</TotalTime>
  <ScaleCrop>false</ScaleCrop>
  <LinksUpToDate>false</LinksUpToDate>
  <CharactersWithSpaces>6196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2025-02-25T08:56:00Z</dcterms:created>
  <dc:creator>明森 陈</dc:creator>
  <cp:lastModifiedBy>轻舞飞扬</cp:lastModifiedBy>
  <dcterms:modified xsi:type="dcterms:W3CDTF">2026-01-06T02:41:49Z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eyJoZGlkIjoiODBmNTMzZjkzYzI0YjY0ZTVkNDZkMTM4NTY2ZGEwNjciLCJ1c2VySWQiOiI1OTU4NDk1MTUifQ==</vt:lpwstr>
  </property>
  <property fmtid="{D5CDD505-2E9C-101B-9397-08002B2CF9AE}" pid="3" name="KSOProductBuildVer">
    <vt:lpwstr>2052-12.1.0.24034</vt:lpwstr>
  </property>
  <property fmtid="{D5CDD505-2E9C-101B-9397-08002B2CF9AE}" pid="4" name="ICV">
    <vt:lpwstr>4B7EFC68B6AC4651B9A4671679BDE050_12</vt:lpwstr>
  </property>
</Properties>
</file>